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9906"/>
      </w:tblGrid>
      <w:tr w:rsidR="00A5350F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350F" w:rsidRDefault="00404E55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A5350F" w:rsidRDefault="00404E55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p w:rsidR="00A5350F" w:rsidRPr="00404E55" w:rsidRDefault="00404E55">
      <w:pPr>
        <w:jc w:val="center"/>
        <w:rPr>
          <w:rFonts w:ascii="Calibri" w:eastAsia="Times New Roman" w:hAnsi="Calibri" w:cs="Times New Roman"/>
          <w:b/>
        </w:rPr>
      </w:pPr>
      <w:r w:rsidRPr="00404E55">
        <w:rPr>
          <w:rFonts w:ascii="Calibri" w:eastAsia="Times New Roman" w:hAnsi="Calibri" w:cs="Times New Roman"/>
          <w:b/>
        </w:rPr>
        <w:t xml:space="preserve">ПОЯСНИТЕЛЬНАЯ ЗАПИСКА ОБ ИСПОЛНЕНИИ БЮДЖЕТА </w:t>
      </w:r>
      <w:r w:rsidRPr="00404E55">
        <w:rPr>
          <w:b/>
        </w:rPr>
        <w:t>СЕЛЬСКОГО ПОСЕЛЕНИЯ «ОНОНСКОЕ»</w:t>
      </w:r>
    </w:p>
    <w:p w:rsidR="00A5350F" w:rsidRPr="00404E55" w:rsidRDefault="00404E55">
      <w:pPr>
        <w:jc w:val="center"/>
        <w:rPr>
          <w:rFonts w:ascii="Calibri" w:eastAsia="Times New Roman" w:hAnsi="Calibri" w:cs="Times New Roman"/>
          <w:b/>
        </w:rPr>
      </w:pPr>
      <w:r w:rsidRPr="00404E55">
        <w:rPr>
          <w:rFonts w:ascii="Calibri" w:eastAsia="Times New Roman" w:hAnsi="Calibri" w:cs="Times New Roman"/>
          <w:b/>
        </w:rPr>
        <w:t>ЗА 202</w:t>
      </w:r>
      <w:r w:rsidRPr="00404E55">
        <w:rPr>
          <w:b/>
        </w:rPr>
        <w:t>3</w:t>
      </w:r>
      <w:r w:rsidRPr="00404E55">
        <w:rPr>
          <w:rFonts w:ascii="Calibri" w:eastAsia="Times New Roman" w:hAnsi="Calibri" w:cs="Times New Roman"/>
          <w:b/>
        </w:rPr>
        <w:t xml:space="preserve"> ГОД</w:t>
      </w:r>
    </w:p>
    <w:p w:rsidR="00A5350F" w:rsidRDefault="00A5350F">
      <w:pPr>
        <w:jc w:val="both"/>
        <w:rPr>
          <w:rFonts w:ascii="Calibri" w:eastAsia="Times New Roman" w:hAnsi="Calibri" w:cs="Times New Roman"/>
        </w:rPr>
      </w:pPr>
    </w:p>
    <w:p w:rsidR="00A5350F" w:rsidRDefault="00404E55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Cs/>
          <w:iCs/>
        </w:rPr>
        <w:t xml:space="preserve">Исполнение бюджета </w:t>
      </w:r>
      <w:r>
        <w:rPr>
          <w:bCs/>
          <w:iCs/>
        </w:rPr>
        <w:t>сельского поселения</w:t>
      </w:r>
      <w:r>
        <w:rPr>
          <w:rFonts w:ascii="Calibri" w:eastAsia="Times New Roman" w:hAnsi="Calibri" w:cs="Times New Roman"/>
          <w:bCs/>
          <w:iCs/>
        </w:rPr>
        <w:t xml:space="preserve"> по доходам за </w:t>
      </w:r>
      <w:r>
        <w:rPr>
          <w:bCs/>
          <w:iCs/>
        </w:rPr>
        <w:t>2023</w:t>
      </w:r>
      <w:r>
        <w:rPr>
          <w:rFonts w:ascii="Calibri" w:eastAsia="Times New Roman" w:hAnsi="Calibri" w:cs="Times New Roman"/>
          <w:bCs/>
          <w:iCs/>
        </w:rPr>
        <w:t xml:space="preserve"> год</w:t>
      </w:r>
      <w:r>
        <w:rPr>
          <w:rFonts w:ascii="Calibri" w:eastAsia="Times New Roman" w:hAnsi="Calibri" w:cs="Times New Roman"/>
        </w:rPr>
        <w:t xml:space="preserve"> обеспечено в сумме </w:t>
      </w:r>
      <w:r>
        <w:rPr>
          <w:rFonts w:ascii="Calibri"/>
        </w:rPr>
        <w:t>34530,1</w:t>
      </w:r>
      <w:r>
        <w:rPr>
          <w:rFonts w:ascii="Calibri" w:eastAsia="Times New Roman" w:hAnsi="Calibri" w:cs="Times New Roman"/>
        </w:rPr>
        <w:t xml:space="preserve"> тыс. руб., из них собственные доходы составили в сумме </w:t>
      </w:r>
      <w:r>
        <w:t>806,7</w:t>
      </w:r>
      <w:r>
        <w:rPr>
          <w:rFonts w:ascii="Calibri" w:eastAsia="Times New Roman" w:hAnsi="Calibri" w:cs="Times New Roman"/>
        </w:rPr>
        <w:t xml:space="preserve"> тыс</w:t>
      </w:r>
      <w:proofErr w:type="gramStart"/>
      <w:r>
        <w:rPr>
          <w:rFonts w:ascii="Calibri" w:eastAsia="Times New Roman" w:hAnsi="Calibri" w:cs="Times New Roman"/>
        </w:rPr>
        <w:t>.р</w:t>
      </w:r>
      <w:proofErr w:type="gramEnd"/>
      <w:r>
        <w:rPr>
          <w:rFonts w:ascii="Calibri" w:eastAsia="Times New Roman" w:hAnsi="Calibri" w:cs="Times New Roman"/>
        </w:rPr>
        <w:t xml:space="preserve">уб. или </w:t>
      </w:r>
      <w:r>
        <w:t>98</w:t>
      </w:r>
      <w:r>
        <w:rPr>
          <w:rFonts w:ascii="Calibri" w:eastAsia="Times New Roman" w:hAnsi="Calibri" w:cs="Times New Roman"/>
        </w:rPr>
        <w:t>% к уточнённым бюджетным назначениям (</w:t>
      </w:r>
      <w:r>
        <w:t>822,9</w:t>
      </w:r>
      <w:r>
        <w:rPr>
          <w:rFonts w:ascii="Calibri" w:eastAsia="Times New Roman" w:hAnsi="Calibri" w:cs="Times New Roman"/>
        </w:rPr>
        <w:t xml:space="preserve"> тыс. руб.), безвозмездные поступления составили </w:t>
      </w:r>
      <w:r>
        <w:t>33723,4</w:t>
      </w:r>
      <w:r>
        <w:rPr>
          <w:rFonts w:ascii="Calibri" w:eastAsia="Times New Roman" w:hAnsi="Calibri" w:cs="Times New Roman"/>
        </w:rPr>
        <w:t xml:space="preserve"> тыс. руб. или </w:t>
      </w:r>
      <w:r>
        <w:t>100</w:t>
      </w:r>
      <w:r>
        <w:rPr>
          <w:rFonts w:ascii="Calibri" w:eastAsia="Times New Roman" w:hAnsi="Calibri" w:cs="Times New Roman"/>
        </w:rPr>
        <w:t>% к уточнённым бюджетным назначениям (</w:t>
      </w:r>
      <w:r>
        <w:t>33723,4</w:t>
      </w:r>
      <w:r>
        <w:rPr>
          <w:rFonts w:ascii="Calibri" w:eastAsia="Times New Roman" w:hAnsi="Calibri" w:cs="Times New Roman"/>
        </w:rPr>
        <w:t xml:space="preserve"> тыс. руб.). </w:t>
      </w:r>
    </w:p>
    <w:p w:rsidR="00A5350F" w:rsidRDefault="00A5350F">
      <w:pPr>
        <w:ind w:firstLine="709"/>
        <w:jc w:val="both"/>
        <w:rPr>
          <w:rFonts w:ascii="Calibri" w:eastAsia="Times New Roman" w:hAnsi="Calibri" w:cs="Times New Roman"/>
        </w:rPr>
      </w:pPr>
    </w:p>
    <w:p w:rsidR="00A5350F" w:rsidRDefault="00404E55">
      <w:pPr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Исполнение бюджета </w:t>
      </w:r>
      <w:r>
        <w:t>сельского поселения «Ононское»</w:t>
      </w:r>
      <w:r>
        <w:rPr>
          <w:rFonts w:ascii="Calibri" w:eastAsia="Times New Roman" w:hAnsi="Calibri" w:cs="Times New Roman"/>
        </w:rPr>
        <w:t xml:space="preserve"> по </w:t>
      </w:r>
      <w:r>
        <w:rPr>
          <w:rFonts w:ascii="Calibri" w:eastAsia="Times New Roman" w:hAnsi="Calibri" w:cs="Times New Roman"/>
          <w:b/>
        </w:rPr>
        <w:t>доходам</w:t>
      </w:r>
      <w:r>
        <w:rPr>
          <w:rFonts w:ascii="Calibri" w:eastAsia="Times New Roman" w:hAnsi="Calibri" w:cs="Times New Roman"/>
        </w:rPr>
        <w:t xml:space="preserve"> за</w:t>
      </w:r>
      <w:r>
        <w:rPr>
          <w:rFonts w:ascii="Calibri" w:eastAsia="Times New Roman" w:hAnsi="Calibri" w:cs="Times New Roman"/>
        </w:rPr>
        <w:t xml:space="preserve"> 202</w:t>
      </w:r>
      <w:r>
        <w:t>3</w:t>
      </w:r>
      <w:r>
        <w:rPr>
          <w:rFonts w:ascii="Calibri" w:eastAsia="Times New Roman" w:hAnsi="Calibri" w:cs="Times New Roman"/>
        </w:rPr>
        <w:t xml:space="preserve"> год характеризуется следующими данными:</w:t>
      </w:r>
    </w:p>
    <w:p w:rsidR="00A5350F" w:rsidRDefault="00A5350F">
      <w:pPr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1237"/>
        <w:gridCol w:w="1283"/>
        <w:gridCol w:w="1260"/>
        <w:gridCol w:w="1260"/>
        <w:gridCol w:w="1080"/>
        <w:gridCol w:w="1080"/>
      </w:tblGrid>
      <w:tr w:rsidR="00A5350F">
        <w:tc>
          <w:tcPr>
            <w:tcW w:w="2660" w:type="dxa"/>
            <w:vMerge w:val="restart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Доходы</w:t>
            </w:r>
          </w:p>
        </w:tc>
        <w:tc>
          <w:tcPr>
            <w:tcW w:w="1237" w:type="dxa"/>
            <w:vMerge w:val="restart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Исполнено за  2022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543" w:type="dxa"/>
            <w:gridSpan w:val="2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420" w:type="dxa"/>
            <w:gridSpan w:val="3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Исполнение </w:t>
            </w:r>
          </w:p>
        </w:tc>
      </w:tr>
      <w:tr w:rsidR="00A5350F">
        <w:tc>
          <w:tcPr>
            <w:tcW w:w="2660" w:type="dxa"/>
            <w:vMerge/>
          </w:tcPr>
          <w:p w:rsidR="00A5350F" w:rsidRDefault="00A5350F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37" w:type="dxa"/>
            <w:vMerge/>
          </w:tcPr>
          <w:p w:rsidR="00A5350F" w:rsidRDefault="00A5350F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83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Годовые назначения</w:t>
            </w:r>
          </w:p>
        </w:tc>
        <w:tc>
          <w:tcPr>
            <w:tcW w:w="1260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Исполнено за год</w:t>
            </w:r>
          </w:p>
        </w:tc>
        <w:tc>
          <w:tcPr>
            <w:tcW w:w="1260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% к аналогичному периоду 2022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080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% к го</w:t>
            </w:r>
            <w:r>
              <w:rPr>
                <w:sz w:val="20"/>
                <w:szCs w:val="20"/>
              </w:rPr>
              <w:t>довым бюджетным назначениям 2022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080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В сумме от годовых бюджетных назначений </w:t>
            </w:r>
            <w:r>
              <w:rPr>
                <w:sz w:val="20"/>
                <w:szCs w:val="20"/>
              </w:rPr>
              <w:t>2022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года</w:t>
            </w:r>
          </w:p>
        </w:tc>
      </w:tr>
      <w:tr w:rsidR="00A5350F">
        <w:tc>
          <w:tcPr>
            <w:tcW w:w="2660" w:type="dxa"/>
          </w:tcPr>
          <w:p w:rsidR="00A5350F" w:rsidRDefault="00404E55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Собственные доходы всего, в том числе:</w:t>
            </w:r>
          </w:p>
        </w:tc>
        <w:tc>
          <w:tcPr>
            <w:tcW w:w="1237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445,0</w:t>
            </w:r>
          </w:p>
        </w:tc>
        <w:tc>
          <w:tcPr>
            <w:tcW w:w="1283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822,9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806,7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184,9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181,3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361,7</w:t>
            </w:r>
          </w:p>
        </w:tc>
      </w:tr>
      <w:tr w:rsidR="00A5350F">
        <w:tc>
          <w:tcPr>
            <w:tcW w:w="2660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Налоговые доходы всего, в том числе:</w:t>
            </w:r>
          </w:p>
        </w:tc>
        <w:tc>
          <w:tcPr>
            <w:tcW w:w="1237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322,4</w:t>
            </w:r>
          </w:p>
        </w:tc>
        <w:tc>
          <w:tcPr>
            <w:tcW w:w="1283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439,6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423,3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136,4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131,3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100,9</w:t>
            </w:r>
          </w:p>
        </w:tc>
      </w:tr>
      <w:tr w:rsidR="00A5350F">
        <w:tc>
          <w:tcPr>
            <w:tcW w:w="2660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37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115,2</w:t>
            </w:r>
          </w:p>
        </w:tc>
        <w:tc>
          <w:tcPr>
            <w:tcW w:w="1283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130,4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130,6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113,4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113,4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15,4</w:t>
            </w:r>
          </w:p>
        </w:tc>
      </w:tr>
      <w:tr w:rsidR="00A5350F">
        <w:tc>
          <w:tcPr>
            <w:tcW w:w="2660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37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5,1</w:t>
            </w:r>
          </w:p>
        </w:tc>
        <w:tc>
          <w:tcPr>
            <w:tcW w:w="1283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2,2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2,2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43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43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-2,9</w:t>
            </w:r>
          </w:p>
        </w:tc>
      </w:tr>
      <w:tr w:rsidR="00A5350F">
        <w:tc>
          <w:tcPr>
            <w:tcW w:w="2660" w:type="dxa"/>
            <w:vAlign w:val="center"/>
          </w:tcPr>
          <w:p w:rsidR="00A5350F" w:rsidRDefault="00404E55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37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15,5</w:t>
            </w:r>
          </w:p>
        </w:tc>
        <w:tc>
          <w:tcPr>
            <w:tcW w:w="1283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20,0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23,0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129,0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148,4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7,5</w:t>
            </w:r>
          </w:p>
        </w:tc>
      </w:tr>
      <w:tr w:rsidR="00A5350F">
        <w:tc>
          <w:tcPr>
            <w:tcW w:w="2660" w:type="dxa"/>
            <w:vAlign w:val="center"/>
          </w:tcPr>
          <w:p w:rsidR="00A5350F" w:rsidRDefault="00404E55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Земельный налог</w:t>
            </w:r>
          </w:p>
        </w:tc>
        <w:tc>
          <w:tcPr>
            <w:tcW w:w="1237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202,2</w:t>
            </w:r>
          </w:p>
        </w:tc>
        <w:tc>
          <w:tcPr>
            <w:tcW w:w="1283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289,0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267,5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142,9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132,3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65,3</w:t>
            </w:r>
          </w:p>
        </w:tc>
      </w:tr>
      <w:tr w:rsidR="00A5350F">
        <w:tc>
          <w:tcPr>
            <w:tcW w:w="2660" w:type="dxa"/>
            <w:vAlign w:val="center"/>
          </w:tcPr>
          <w:p w:rsidR="00A5350F" w:rsidRDefault="00404E55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237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141,1</w:t>
            </w:r>
          </w:p>
        </w:tc>
        <w:tc>
          <w:tcPr>
            <w:tcW w:w="1283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201,1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196,9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142,5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139,5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55,8</w:t>
            </w:r>
          </w:p>
        </w:tc>
      </w:tr>
      <w:tr w:rsidR="00A5350F">
        <w:trPr>
          <w:trHeight w:val="635"/>
        </w:trPr>
        <w:tc>
          <w:tcPr>
            <w:tcW w:w="2660" w:type="dxa"/>
            <w:vAlign w:val="center"/>
          </w:tcPr>
          <w:p w:rsidR="00A5350F" w:rsidRDefault="00404E55">
            <w:pPr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Земельный</w:t>
            </w:r>
            <w:r>
              <w:rPr>
                <w:rFonts w:ascii="Arial CYR" w:hAnsi="Arial CYR" w:cs="Arial CYR"/>
                <w:sz w:val="18"/>
                <w:szCs w:val="18"/>
              </w:rPr>
              <w:t xml:space="preserve"> налог с физических лиц</w:t>
            </w:r>
          </w:p>
        </w:tc>
        <w:tc>
          <w:tcPr>
            <w:tcW w:w="1237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45,5</w:t>
            </w:r>
          </w:p>
        </w:tc>
        <w:tc>
          <w:tcPr>
            <w:tcW w:w="1283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85,9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70,6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188,8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155,2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25,1</w:t>
            </w:r>
          </w:p>
        </w:tc>
      </w:tr>
      <w:tr w:rsidR="00A5350F">
        <w:tc>
          <w:tcPr>
            <w:tcW w:w="2660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37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61,7</w:t>
            </w:r>
          </w:p>
        </w:tc>
        <w:tc>
          <w:tcPr>
            <w:tcW w:w="1283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104,8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104,8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169,9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169,9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43,1</w:t>
            </w:r>
          </w:p>
        </w:tc>
      </w:tr>
      <w:tr w:rsidR="00A5350F">
        <w:tc>
          <w:tcPr>
            <w:tcW w:w="2660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237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9,4</w:t>
            </w:r>
          </w:p>
        </w:tc>
        <w:tc>
          <w:tcPr>
            <w:tcW w:w="1283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39,8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39,8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423,4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423,4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30,4</w:t>
            </w:r>
          </w:p>
        </w:tc>
      </w:tr>
      <w:tr w:rsidR="00A5350F">
        <w:tc>
          <w:tcPr>
            <w:tcW w:w="2660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237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9,3</w:t>
            </w:r>
          </w:p>
        </w:tc>
        <w:tc>
          <w:tcPr>
            <w:tcW w:w="1283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55,7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55,7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598,9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598,9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46,4</w:t>
            </w:r>
          </w:p>
        </w:tc>
      </w:tr>
      <w:tr w:rsidR="00A5350F">
        <w:tc>
          <w:tcPr>
            <w:tcW w:w="2660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237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42,1</w:t>
            </w:r>
          </w:p>
        </w:tc>
        <w:tc>
          <w:tcPr>
            <w:tcW w:w="1283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183,1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183,1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434,9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434,9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141,0</w:t>
            </w:r>
          </w:p>
        </w:tc>
      </w:tr>
      <w:tr w:rsidR="00A5350F">
        <w:tc>
          <w:tcPr>
            <w:tcW w:w="2660" w:type="dxa"/>
          </w:tcPr>
          <w:p w:rsidR="00A5350F" w:rsidRDefault="00404E55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Безвозмездные перечисления</w:t>
            </w:r>
          </w:p>
        </w:tc>
        <w:tc>
          <w:tcPr>
            <w:tcW w:w="1237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6005,2</w:t>
            </w:r>
          </w:p>
        </w:tc>
        <w:tc>
          <w:tcPr>
            <w:tcW w:w="1283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33723,4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33723,4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561,6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561,6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27718,2</w:t>
            </w:r>
          </w:p>
        </w:tc>
      </w:tr>
      <w:tr w:rsidR="00A5350F">
        <w:tc>
          <w:tcPr>
            <w:tcW w:w="2660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 xml:space="preserve">Дотации бюджетам бюджетной 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t xml:space="preserve">системы </w:t>
            </w:r>
            <w:r>
              <w:rPr>
                <w:rFonts w:ascii="Arial CYR" w:hAnsi="Arial CYR" w:cs="Arial CYR"/>
                <w:bCs/>
                <w:sz w:val="18"/>
                <w:szCs w:val="18"/>
              </w:rPr>
              <w:lastRenderedPageBreak/>
              <w:t>Российской Федерации</w:t>
            </w:r>
          </w:p>
        </w:tc>
        <w:tc>
          <w:tcPr>
            <w:tcW w:w="1237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>3633,6</w:t>
            </w:r>
          </w:p>
        </w:tc>
        <w:tc>
          <w:tcPr>
            <w:tcW w:w="1283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4242,8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4242,8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116,7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116,7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609,2</w:t>
            </w:r>
          </w:p>
        </w:tc>
      </w:tr>
      <w:tr w:rsidR="00A5350F">
        <w:tc>
          <w:tcPr>
            <w:tcW w:w="2660" w:type="dxa"/>
            <w:vAlign w:val="center"/>
          </w:tcPr>
          <w:p w:rsidR="00A5350F" w:rsidRDefault="00404E55">
            <w:pPr>
              <w:rPr>
                <w:rFonts w:ascii="Arial CYR" w:hAnsi="Arial CYR" w:cs="Arial CYR"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37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400,0</w:t>
            </w:r>
          </w:p>
        </w:tc>
        <w:tc>
          <w:tcPr>
            <w:tcW w:w="1283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19536,8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19536,8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488,4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488,4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19136,8</w:t>
            </w:r>
          </w:p>
        </w:tc>
      </w:tr>
      <w:tr w:rsidR="00A5350F">
        <w:tc>
          <w:tcPr>
            <w:tcW w:w="2660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ascii="Arial CYR" w:hAnsi="Arial CYR" w:cs="Arial CYR"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237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154,8</w:t>
            </w:r>
          </w:p>
        </w:tc>
        <w:tc>
          <w:tcPr>
            <w:tcW w:w="1283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178,8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178,8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115,5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115,5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24,0</w:t>
            </w:r>
          </w:p>
        </w:tc>
      </w:tr>
      <w:tr w:rsidR="00A5350F">
        <w:tc>
          <w:tcPr>
            <w:tcW w:w="2660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37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1816,8</w:t>
            </w:r>
          </w:p>
        </w:tc>
        <w:tc>
          <w:tcPr>
            <w:tcW w:w="1283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9765,4</w:t>
            </w:r>
          </w:p>
        </w:tc>
        <w:tc>
          <w:tcPr>
            <w:tcW w:w="1260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9765,4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537,5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537,5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7948,6</w:t>
            </w:r>
          </w:p>
        </w:tc>
      </w:tr>
      <w:tr w:rsidR="00A5350F">
        <w:tc>
          <w:tcPr>
            <w:tcW w:w="2660" w:type="dxa"/>
          </w:tcPr>
          <w:p w:rsidR="00A5350F" w:rsidRDefault="00404E55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237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6450,2</w:t>
            </w:r>
          </w:p>
        </w:tc>
        <w:tc>
          <w:tcPr>
            <w:tcW w:w="1283" w:type="dxa"/>
          </w:tcPr>
          <w:p w:rsidR="00A5350F" w:rsidRDefault="00404E55">
            <w:pPr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34546,3</w:t>
            </w:r>
          </w:p>
        </w:tc>
        <w:tc>
          <w:tcPr>
            <w:tcW w:w="1260" w:type="dxa"/>
          </w:tcPr>
          <w:p w:rsidR="00A5350F" w:rsidRDefault="00404E55">
            <w:pPr>
              <w:jc w:val="both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34530,1</w:t>
            </w:r>
          </w:p>
        </w:tc>
        <w:tc>
          <w:tcPr>
            <w:tcW w:w="126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535,5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535,3</w:t>
            </w:r>
          </w:p>
        </w:tc>
        <w:tc>
          <w:tcPr>
            <w:tcW w:w="1080" w:type="dxa"/>
            <w:vAlign w:val="center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28079,9</w:t>
            </w:r>
          </w:p>
        </w:tc>
      </w:tr>
    </w:tbl>
    <w:p w:rsidR="00A5350F" w:rsidRDefault="00A5350F">
      <w:pPr>
        <w:ind w:firstLine="709"/>
        <w:jc w:val="both"/>
        <w:rPr>
          <w:rFonts w:ascii="Calibri" w:eastAsia="Times New Roman" w:hAnsi="Calibri" w:cs="Times New Roman"/>
          <w:b/>
          <w:sz w:val="28"/>
          <w:szCs w:val="28"/>
        </w:rPr>
      </w:pPr>
    </w:p>
    <w:p w:rsidR="00A5350F" w:rsidRDefault="00404E55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В структуре полученных доходов бюджета за 2023 год собственные доходы составили 2,3%, безвозмездные поступления составили 97,7 %. </w:t>
      </w:r>
    </w:p>
    <w:p w:rsidR="00A5350F" w:rsidRDefault="00404E55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По сравнению с прошлым годом общий объем доходов с учетом безвозмездных поступлений увеличился на 28079,9 тыс. руб., в т.ч. п</w:t>
      </w:r>
      <w:r>
        <w:rPr>
          <w:rFonts w:ascii="Calibri" w:eastAsia="Times New Roman" w:hAnsi="Calibri" w:cs="Times New Roman"/>
        </w:rPr>
        <w:t>о собственным доходам на 361,7 тыс. руб., по безвозмездным поступлениям на 27718,2 тыс. руб.</w:t>
      </w:r>
    </w:p>
    <w:p w:rsidR="00A5350F" w:rsidRDefault="00404E55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В общем объёме собственных доходов </w:t>
      </w:r>
      <w:r>
        <w:rPr>
          <w:rFonts w:ascii="Calibri" w:eastAsia="Times New Roman" w:hAnsi="Calibri" w:cs="Times New Roman"/>
          <w:i/>
          <w:iCs/>
        </w:rPr>
        <w:t xml:space="preserve">налоговые доходы </w:t>
      </w:r>
      <w:r>
        <w:rPr>
          <w:rFonts w:ascii="Calibri" w:eastAsia="Times New Roman" w:hAnsi="Calibri" w:cs="Times New Roman"/>
        </w:rPr>
        <w:t>составили 423,3 тыс. руб. или 52,5 %.</w:t>
      </w:r>
    </w:p>
    <w:p w:rsidR="00A5350F" w:rsidRDefault="00404E55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Наибольший удельный вес занимали поступления по следующим налогам и сбора</w:t>
      </w:r>
      <w:r>
        <w:rPr>
          <w:rFonts w:ascii="Calibri" w:eastAsia="Times New Roman" w:hAnsi="Calibri" w:cs="Times New Roman"/>
        </w:rPr>
        <w:t>м:</w:t>
      </w:r>
    </w:p>
    <w:p w:rsidR="00A5350F" w:rsidRDefault="00404E55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по налогу на доходы физических лиц –30,9 % от поступивших налогов (130,6тыс. руб.);</w:t>
      </w:r>
    </w:p>
    <w:p w:rsidR="00A5350F" w:rsidRDefault="00404E55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по земельному налогу  – 63,2 % (267,5 тыс. руб.);</w:t>
      </w:r>
    </w:p>
    <w:p w:rsidR="00A5350F" w:rsidRDefault="00404E55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налог на имущество  –5,4 % (23,0тыс. руб.)</w:t>
      </w:r>
    </w:p>
    <w:p w:rsidR="00A5350F" w:rsidRDefault="00404E55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i/>
          <w:iCs/>
        </w:rPr>
        <w:t>Неналоговые доходы</w:t>
      </w:r>
      <w:r>
        <w:rPr>
          <w:rFonts w:ascii="Calibri" w:eastAsia="Times New Roman" w:hAnsi="Calibri" w:cs="Times New Roman"/>
        </w:rPr>
        <w:t xml:space="preserve"> в общем объеме собственных доходов составляют 383,4 тыс. </w:t>
      </w:r>
      <w:r>
        <w:rPr>
          <w:rFonts w:ascii="Calibri" w:eastAsia="Times New Roman" w:hAnsi="Calibri" w:cs="Times New Roman"/>
        </w:rPr>
        <w:t xml:space="preserve">руб. или 47,6 %. </w:t>
      </w:r>
    </w:p>
    <w:p w:rsidR="00A5350F" w:rsidRDefault="00404E55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Наибольший удельный вес занимают следующие доходы:</w:t>
      </w:r>
    </w:p>
    <w:p w:rsidR="00A5350F" w:rsidRDefault="00404E5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доходы от использования имущества – 27,3 % (104,8 тыс. руб.).</w:t>
      </w:r>
    </w:p>
    <w:p w:rsidR="00A5350F" w:rsidRDefault="00404E55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прочие не налоговые доходы  – 47,8% (183,1тыс. руб.).</w:t>
      </w:r>
    </w:p>
    <w:p w:rsidR="00A5350F" w:rsidRDefault="00404E55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ab/>
      </w:r>
      <w:r>
        <w:rPr>
          <w:rFonts w:ascii="Calibri" w:eastAsia="Times New Roman" w:hAnsi="Calibri" w:cs="Times New Roman"/>
          <w:i/>
        </w:rPr>
        <w:t>Исполнение по безвозмездным поступлениям</w:t>
      </w:r>
      <w:r>
        <w:rPr>
          <w:rFonts w:ascii="Calibri" w:eastAsia="Times New Roman" w:hAnsi="Calibri" w:cs="Times New Roman"/>
        </w:rPr>
        <w:t xml:space="preserve">, подлежащим перечислению в бюджет </w:t>
      </w:r>
      <w:r>
        <w:t>сельского поселения</w:t>
      </w:r>
      <w:r>
        <w:rPr>
          <w:rFonts w:ascii="Calibri" w:eastAsia="Times New Roman" w:hAnsi="Calibri" w:cs="Times New Roman"/>
        </w:rPr>
        <w:t>, составило 33723,4тыс. руб., в т.ч.:</w:t>
      </w:r>
    </w:p>
    <w:p w:rsidR="00A5350F" w:rsidRDefault="00404E55">
      <w:pPr>
        <w:numPr>
          <w:ilvl w:val="0"/>
          <w:numId w:val="3"/>
        </w:numPr>
        <w:jc w:val="both"/>
        <w:rPr>
          <w:rFonts w:ascii="Calibri" w:eastAsia="Times New Roman" w:hAnsi="Calibri" w:cs="Times New Roman"/>
        </w:rPr>
      </w:pPr>
      <w:r>
        <w:rPr>
          <w:rFonts w:ascii="Arial CYR" w:hAnsi="Arial CYR" w:cs="Arial CYR"/>
          <w:bCs/>
          <w:sz w:val="18"/>
          <w:szCs w:val="18"/>
        </w:rPr>
        <w:t>Дотации бюджетам бюджетной системы Российской Федерации</w:t>
      </w:r>
      <w:r>
        <w:rPr>
          <w:rFonts w:ascii="Calibri" w:eastAsia="Times New Roman" w:hAnsi="Calibri" w:cs="Times New Roman"/>
        </w:rPr>
        <w:t xml:space="preserve"> в сумме </w:t>
      </w:r>
      <w:r>
        <w:rPr>
          <w:rFonts w:ascii="Calibri" w:eastAsia="Times New Roman" w:hAnsi="Calibri" w:cs="Times New Roman"/>
          <w:bCs/>
        </w:rPr>
        <w:t>4242,8</w:t>
      </w:r>
      <w:r>
        <w:rPr>
          <w:rFonts w:ascii="Calibri" w:eastAsia="Times New Roman" w:hAnsi="Calibri" w:cs="Times New Roman"/>
        </w:rPr>
        <w:t>тыс. руб. или 100,0 % к уточнённым бюджетным назначениям;</w:t>
      </w:r>
    </w:p>
    <w:p w:rsidR="00A5350F" w:rsidRDefault="00404E55">
      <w:pPr>
        <w:numPr>
          <w:ilvl w:val="0"/>
          <w:numId w:val="3"/>
        </w:numPr>
        <w:jc w:val="both"/>
        <w:rPr>
          <w:rFonts w:ascii="Calibri" w:eastAsia="Times New Roman" w:hAnsi="Calibri" w:cs="Times New Roman"/>
        </w:rPr>
      </w:pPr>
      <w:r>
        <w:rPr>
          <w:rFonts w:ascii="Arial CYR" w:hAnsi="Arial CYR" w:cs="Arial CYR"/>
          <w:bCs/>
          <w:sz w:val="18"/>
          <w:szCs w:val="18"/>
        </w:rPr>
        <w:t xml:space="preserve">Субсидии бюджетам бюджетной системы </w:t>
      </w:r>
      <w:r>
        <w:rPr>
          <w:rFonts w:ascii="Arial CYR" w:hAnsi="Arial CYR" w:cs="Arial CYR"/>
          <w:bCs/>
          <w:sz w:val="18"/>
          <w:szCs w:val="18"/>
        </w:rPr>
        <w:t xml:space="preserve">Российской Федерации (межбюджетные субсидии) </w:t>
      </w:r>
      <w:r>
        <w:rPr>
          <w:rFonts w:ascii="Calibri" w:eastAsia="Times New Roman" w:hAnsi="Calibri" w:cs="Times New Roman"/>
        </w:rPr>
        <w:t xml:space="preserve">в сумме </w:t>
      </w:r>
      <w:r>
        <w:rPr>
          <w:rFonts w:ascii="Calibri" w:eastAsia="Times New Roman" w:hAnsi="Calibri" w:cs="Times New Roman"/>
          <w:bCs/>
        </w:rPr>
        <w:t xml:space="preserve">19536,8 </w:t>
      </w:r>
      <w:r>
        <w:rPr>
          <w:rFonts w:ascii="Calibri" w:eastAsia="Times New Roman" w:hAnsi="Calibri" w:cs="Times New Roman"/>
        </w:rPr>
        <w:t>тыс. руб. или 100,0 % к уточнённым бюджетным назначениям;</w:t>
      </w:r>
    </w:p>
    <w:p w:rsidR="00A5350F" w:rsidRDefault="00404E55">
      <w:pPr>
        <w:numPr>
          <w:ilvl w:val="0"/>
          <w:numId w:val="3"/>
        </w:numPr>
        <w:jc w:val="both"/>
        <w:rPr>
          <w:rFonts w:ascii="Calibri" w:eastAsia="Times New Roman" w:hAnsi="Calibri" w:cs="Times New Roman"/>
        </w:rPr>
      </w:pPr>
      <w:r>
        <w:rPr>
          <w:rFonts w:ascii="Arial CYR" w:hAnsi="Arial CYR" w:cs="Arial CYR"/>
          <w:bCs/>
          <w:sz w:val="18"/>
          <w:szCs w:val="18"/>
        </w:rPr>
        <w:t>Субвенции бюджетам бюджетной системы Российской Федерации</w:t>
      </w:r>
      <w:r>
        <w:rPr>
          <w:rFonts w:ascii="Calibri" w:eastAsia="Times New Roman" w:hAnsi="Calibri" w:cs="Times New Roman"/>
        </w:rPr>
        <w:t xml:space="preserve"> в сумме </w:t>
      </w:r>
      <w:r>
        <w:rPr>
          <w:rFonts w:ascii="Calibri" w:eastAsia="Times New Roman" w:hAnsi="Calibri" w:cs="Times New Roman"/>
          <w:bCs/>
        </w:rPr>
        <w:t>178,8</w:t>
      </w:r>
      <w:r>
        <w:rPr>
          <w:rFonts w:ascii="Calibri" w:eastAsia="Times New Roman" w:hAnsi="Calibri" w:cs="Times New Roman"/>
        </w:rPr>
        <w:t xml:space="preserve"> тыс. руб. или 100,0 % к уточнённым бюджетным назначениям;</w:t>
      </w:r>
    </w:p>
    <w:p w:rsidR="00A5350F" w:rsidRDefault="00404E55">
      <w:pPr>
        <w:numPr>
          <w:ilvl w:val="0"/>
          <w:numId w:val="3"/>
        </w:numPr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иные ме</w:t>
      </w:r>
      <w:r>
        <w:rPr>
          <w:rFonts w:ascii="Calibri" w:eastAsia="Times New Roman" w:hAnsi="Calibri" w:cs="Times New Roman"/>
        </w:rPr>
        <w:t xml:space="preserve">жбюджетные трансферты в сумме </w:t>
      </w:r>
      <w:r>
        <w:rPr>
          <w:rFonts w:ascii="Calibri" w:eastAsia="Times New Roman" w:hAnsi="Calibri" w:cs="Times New Roman"/>
          <w:bCs/>
        </w:rPr>
        <w:t>9765,4</w:t>
      </w:r>
      <w:r>
        <w:rPr>
          <w:rFonts w:ascii="Calibri" w:eastAsia="Times New Roman" w:hAnsi="Calibri" w:cs="Times New Roman"/>
        </w:rPr>
        <w:t>тыс. руб. или 100,0 %;</w:t>
      </w:r>
    </w:p>
    <w:p w:rsidR="00A5350F" w:rsidRDefault="00404E55">
      <w:pPr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(данные по каждому виду безвозмездных перечислений изложены в приложении №2). </w:t>
      </w:r>
    </w:p>
    <w:p w:rsidR="00A5350F" w:rsidRDefault="00404E55">
      <w:pPr>
        <w:jc w:val="center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РАСХОДЫ</w:t>
      </w:r>
    </w:p>
    <w:p w:rsidR="00A5350F" w:rsidRDefault="00404E55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Cs/>
          <w:i/>
          <w:iCs/>
        </w:rPr>
        <w:t xml:space="preserve">Расходная часть бюджета </w:t>
      </w:r>
      <w:r>
        <w:rPr>
          <w:bCs/>
          <w:i/>
          <w:iCs/>
        </w:rPr>
        <w:t>сельского поселения</w:t>
      </w:r>
      <w:r>
        <w:rPr>
          <w:rFonts w:ascii="Calibri" w:eastAsia="Times New Roman" w:hAnsi="Calibri" w:cs="Times New Roman"/>
          <w:bCs/>
          <w:i/>
          <w:iCs/>
        </w:rPr>
        <w:t xml:space="preserve"> «Ононское» за 2023 год</w:t>
      </w:r>
      <w:r>
        <w:rPr>
          <w:rFonts w:ascii="Calibri" w:eastAsia="Times New Roman" w:hAnsi="Calibri" w:cs="Times New Roman"/>
        </w:rPr>
        <w:t xml:space="preserve"> исполнена в сумме 34499,0 тыс. руб. или 99,9 % к уточненным бюджетным назначениям и 99,9 % к полученным доходам. </w:t>
      </w:r>
    </w:p>
    <w:p w:rsidR="00A5350F" w:rsidRDefault="00404E55">
      <w:pPr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Исполнение бюджета </w:t>
      </w:r>
      <w:r>
        <w:t>сельского поселения</w:t>
      </w:r>
      <w:r>
        <w:rPr>
          <w:rFonts w:ascii="Calibri" w:eastAsia="Times New Roman" w:hAnsi="Calibri" w:cs="Times New Roman"/>
        </w:rPr>
        <w:t xml:space="preserve"> по расходам по разделам Бюджетной классификации </w:t>
      </w:r>
      <w:proofErr w:type="gramStart"/>
      <w:r>
        <w:rPr>
          <w:rFonts w:ascii="Calibri" w:eastAsia="Times New Roman" w:hAnsi="Calibri" w:cs="Times New Roman"/>
        </w:rPr>
        <w:t>РФ</w:t>
      </w:r>
      <w:proofErr w:type="gramEnd"/>
      <w:r>
        <w:rPr>
          <w:rFonts w:ascii="Calibri" w:eastAsia="Times New Roman" w:hAnsi="Calibri" w:cs="Times New Roman"/>
        </w:rPr>
        <w:t xml:space="preserve"> представлено следующими данными:</w:t>
      </w:r>
    </w:p>
    <w:p w:rsidR="00A5350F" w:rsidRDefault="00A5350F">
      <w:pPr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8"/>
        <w:gridCol w:w="1185"/>
        <w:gridCol w:w="1217"/>
        <w:gridCol w:w="1185"/>
        <w:gridCol w:w="1432"/>
        <w:gridCol w:w="1345"/>
        <w:gridCol w:w="1224"/>
      </w:tblGrid>
      <w:tr w:rsidR="00A5350F">
        <w:tc>
          <w:tcPr>
            <w:tcW w:w="2318" w:type="dxa"/>
            <w:vMerge w:val="restart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Расходы </w:t>
            </w:r>
          </w:p>
        </w:tc>
        <w:tc>
          <w:tcPr>
            <w:tcW w:w="1185" w:type="dxa"/>
            <w:vMerge w:val="restart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Исполнен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о за  2022 год</w:t>
            </w:r>
          </w:p>
        </w:tc>
        <w:tc>
          <w:tcPr>
            <w:tcW w:w="2402" w:type="dxa"/>
            <w:gridSpan w:val="2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2023 год</w:t>
            </w:r>
          </w:p>
        </w:tc>
        <w:tc>
          <w:tcPr>
            <w:tcW w:w="4001" w:type="dxa"/>
            <w:gridSpan w:val="3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Исполнение </w:t>
            </w:r>
          </w:p>
        </w:tc>
      </w:tr>
      <w:tr w:rsidR="00A5350F">
        <w:tc>
          <w:tcPr>
            <w:tcW w:w="2318" w:type="dxa"/>
            <w:vMerge/>
          </w:tcPr>
          <w:p w:rsidR="00A5350F" w:rsidRDefault="00A5350F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5" w:type="dxa"/>
            <w:vMerge/>
          </w:tcPr>
          <w:p w:rsidR="00A5350F" w:rsidRDefault="00A5350F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Годовые назначения</w:t>
            </w:r>
          </w:p>
        </w:tc>
        <w:tc>
          <w:tcPr>
            <w:tcW w:w="118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Исполнено за год</w:t>
            </w:r>
          </w:p>
        </w:tc>
        <w:tc>
          <w:tcPr>
            <w:tcW w:w="143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% к аналогичному периоду 2022 года</w:t>
            </w:r>
          </w:p>
        </w:tc>
        <w:tc>
          <w:tcPr>
            <w:tcW w:w="134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gramStart"/>
            <w:r>
              <w:rPr>
                <w:rFonts w:ascii="Calibri" w:eastAsia="Times New Roman" w:hAnsi="Calibri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% к годовым бюджетным назначениям 2023 года</w:t>
            </w:r>
          </w:p>
        </w:tc>
        <w:tc>
          <w:tcPr>
            <w:tcW w:w="122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В сумме от годовых бюджетных назначений 2023года</w:t>
            </w:r>
          </w:p>
        </w:tc>
      </w:tr>
      <w:tr w:rsidR="00A5350F">
        <w:tc>
          <w:tcPr>
            <w:tcW w:w="2318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8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5388,2</w:t>
            </w:r>
          </w:p>
        </w:tc>
        <w:tc>
          <w:tcPr>
            <w:tcW w:w="1217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7134,0</w:t>
            </w:r>
          </w:p>
        </w:tc>
        <w:tc>
          <w:tcPr>
            <w:tcW w:w="118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7086,7</w:t>
            </w:r>
          </w:p>
        </w:tc>
        <w:tc>
          <w:tcPr>
            <w:tcW w:w="143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131,5</w:t>
            </w:r>
          </w:p>
        </w:tc>
        <w:tc>
          <w:tcPr>
            <w:tcW w:w="134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99,3</w:t>
            </w:r>
          </w:p>
        </w:tc>
        <w:tc>
          <w:tcPr>
            <w:tcW w:w="122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-47,3</w:t>
            </w:r>
          </w:p>
        </w:tc>
      </w:tr>
      <w:tr w:rsidR="00A5350F">
        <w:tc>
          <w:tcPr>
            <w:tcW w:w="2318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18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153,8</w:t>
            </w:r>
          </w:p>
        </w:tc>
        <w:tc>
          <w:tcPr>
            <w:tcW w:w="1217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177,5</w:t>
            </w:r>
          </w:p>
        </w:tc>
        <w:tc>
          <w:tcPr>
            <w:tcW w:w="118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177,5</w:t>
            </w:r>
          </w:p>
        </w:tc>
        <w:tc>
          <w:tcPr>
            <w:tcW w:w="143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115,4</w:t>
            </w:r>
          </w:p>
        </w:tc>
        <w:tc>
          <w:tcPr>
            <w:tcW w:w="134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100,0</w:t>
            </w:r>
          </w:p>
        </w:tc>
        <w:tc>
          <w:tcPr>
            <w:tcW w:w="122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0,00</w:t>
            </w:r>
          </w:p>
        </w:tc>
      </w:tr>
      <w:tr w:rsidR="00A5350F">
        <w:tc>
          <w:tcPr>
            <w:tcW w:w="2318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8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832,8</w:t>
            </w:r>
          </w:p>
        </w:tc>
        <w:tc>
          <w:tcPr>
            <w:tcW w:w="1217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85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43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345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24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5350F">
        <w:tc>
          <w:tcPr>
            <w:tcW w:w="2318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85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6138,0</w:t>
            </w:r>
          </w:p>
        </w:tc>
        <w:tc>
          <w:tcPr>
            <w:tcW w:w="118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6138,0</w:t>
            </w:r>
          </w:p>
        </w:tc>
        <w:tc>
          <w:tcPr>
            <w:tcW w:w="1432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100,0</w:t>
            </w:r>
          </w:p>
        </w:tc>
        <w:tc>
          <w:tcPr>
            <w:tcW w:w="122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0,00</w:t>
            </w:r>
          </w:p>
        </w:tc>
      </w:tr>
      <w:tr w:rsidR="00A5350F">
        <w:tc>
          <w:tcPr>
            <w:tcW w:w="2318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Культура </w:t>
            </w:r>
          </w:p>
        </w:tc>
        <w:tc>
          <w:tcPr>
            <w:tcW w:w="1185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17398,8</w:t>
            </w:r>
          </w:p>
        </w:tc>
        <w:tc>
          <w:tcPr>
            <w:tcW w:w="118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17398,8</w:t>
            </w:r>
          </w:p>
        </w:tc>
        <w:tc>
          <w:tcPr>
            <w:tcW w:w="1432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100,0</w:t>
            </w:r>
          </w:p>
        </w:tc>
        <w:tc>
          <w:tcPr>
            <w:tcW w:w="122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0,00</w:t>
            </w:r>
          </w:p>
        </w:tc>
      </w:tr>
      <w:tr w:rsidR="00A5350F">
        <w:tc>
          <w:tcPr>
            <w:tcW w:w="2318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Спорт </w: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и физическая культура</w:t>
            </w:r>
          </w:p>
        </w:tc>
        <w:tc>
          <w:tcPr>
            <w:tcW w:w="1185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3698,0</w:t>
            </w:r>
          </w:p>
        </w:tc>
        <w:tc>
          <w:tcPr>
            <w:tcW w:w="118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3698,0</w:t>
            </w:r>
          </w:p>
        </w:tc>
        <w:tc>
          <w:tcPr>
            <w:tcW w:w="1432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34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100,0</w:t>
            </w:r>
          </w:p>
        </w:tc>
        <w:tc>
          <w:tcPr>
            <w:tcW w:w="122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0,00</w:t>
            </w:r>
          </w:p>
        </w:tc>
      </w:tr>
      <w:tr w:rsidR="00A5350F">
        <w:tc>
          <w:tcPr>
            <w:tcW w:w="2318" w:type="dxa"/>
          </w:tcPr>
          <w:p w:rsidR="00A5350F" w:rsidRDefault="00404E55">
            <w:pPr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Всего </w:t>
            </w:r>
          </w:p>
        </w:tc>
        <w:tc>
          <w:tcPr>
            <w:tcW w:w="1185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1217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34546,3</w:t>
            </w:r>
          </w:p>
        </w:tc>
        <w:tc>
          <w:tcPr>
            <w:tcW w:w="118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34499,0</w:t>
            </w:r>
          </w:p>
        </w:tc>
        <w:tc>
          <w:tcPr>
            <w:tcW w:w="1432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</w:p>
        </w:tc>
        <w:tc>
          <w:tcPr>
            <w:tcW w:w="1345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99,9</w:t>
            </w:r>
          </w:p>
        </w:tc>
        <w:tc>
          <w:tcPr>
            <w:tcW w:w="122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>-47,3</w:t>
            </w:r>
          </w:p>
        </w:tc>
      </w:tr>
    </w:tbl>
    <w:p w:rsidR="00A5350F" w:rsidRDefault="00A5350F">
      <w:pPr>
        <w:ind w:firstLine="709"/>
        <w:jc w:val="both"/>
        <w:rPr>
          <w:rFonts w:ascii="Calibri" w:eastAsia="Times New Roman" w:hAnsi="Calibri" w:cs="Times New Roman"/>
          <w:sz w:val="28"/>
          <w:szCs w:val="28"/>
          <w:highlight w:val="yellow"/>
        </w:rPr>
      </w:pPr>
    </w:p>
    <w:p w:rsidR="00A5350F" w:rsidRDefault="00404E55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По результатам фактического исполнения расходной части бюджета </w:t>
      </w:r>
      <w:r>
        <w:t>сельского поселения</w:t>
      </w:r>
      <w:r>
        <w:rPr>
          <w:rFonts w:ascii="Calibri" w:eastAsia="Times New Roman" w:hAnsi="Calibri" w:cs="Times New Roman"/>
        </w:rPr>
        <w:t xml:space="preserve"> приоритетными направлениями в расходовании бюджетных средств, как и в предыдущие годы, остаются расходы на социально-культурную сферу – 20,5 %, в т.ч.:</w:t>
      </w:r>
    </w:p>
    <w:p w:rsidR="00A5350F" w:rsidRDefault="00404E55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Культура – 50,4 % </w:t>
      </w:r>
      <w:proofErr w:type="spellStart"/>
      <w:r>
        <w:rPr>
          <w:rFonts w:ascii="Calibri" w:eastAsia="Times New Roman" w:hAnsi="Calibri" w:cs="Times New Roman"/>
        </w:rPr>
        <w:t>Прозведен</w:t>
      </w:r>
      <w:proofErr w:type="spellEnd"/>
      <w:r>
        <w:rPr>
          <w:rFonts w:ascii="Calibri" w:eastAsia="Times New Roman" w:hAnsi="Calibri" w:cs="Times New Roman"/>
        </w:rPr>
        <w:t xml:space="preserve"> капитальный ремонт ДК в </w:t>
      </w:r>
      <w:proofErr w:type="spellStart"/>
      <w:r>
        <w:rPr>
          <w:rFonts w:ascii="Calibri" w:eastAsia="Times New Roman" w:hAnsi="Calibri" w:cs="Times New Roman"/>
        </w:rPr>
        <w:t>с</w:t>
      </w:r>
      <w:proofErr w:type="gramStart"/>
      <w:r>
        <w:rPr>
          <w:rFonts w:ascii="Calibri" w:eastAsia="Times New Roman" w:hAnsi="Calibri" w:cs="Times New Roman"/>
        </w:rPr>
        <w:t>.О</w:t>
      </w:r>
      <w:proofErr w:type="gramEnd"/>
      <w:r>
        <w:rPr>
          <w:rFonts w:ascii="Calibri" w:eastAsia="Times New Roman" w:hAnsi="Calibri" w:cs="Times New Roman"/>
        </w:rPr>
        <w:t>нонское</w:t>
      </w:r>
      <w:proofErr w:type="spellEnd"/>
      <w:r>
        <w:rPr>
          <w:rFonts w:ascii="Calibri" w:eastAsia="Times New Roman" w:hAnsi="Calibri" w:cs="Times New Roman"/>
        </w:rPr>
        <w:t>;</w:t>
      </w:r>
    </w:p>
    <w:p w:rsidR="00A5350F" w:rsidRDefault="00404E55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Спорт и физическая культура – 10,7% уст</w:t>
      </w:r>
      <w:r>
        <w:rPr>
          <w:rFonts w:ascii="Calibri" w:eastAsia="Times New Roman" w:hAnsi="Calibri" w:cs="Times New Roman"/>
        </w:rPr>
        <w:t xml:space="preserve">ановлена спортивная площадка в </w:t>
      </w:r>
      <w:proofErr w:type="spellStart"/>
      <w:r>
        <w:rPr>
          <w:rFonts w:ascii="Calibri" w:eastAsia="Times New Roman" w:hAnsi="Calibri" w:cs="Times New Roman"/>
        </w:rPr>
        <w:t>с</w:t>
      </w:r>
      <w:proofErr w:type="gramStart"/>
      <w:r>
        <w:rPr>
          <w:rFonts w:ascii="Calibri" w:eastAsia="Times New Roman" w:hAnsi="Calibri" w:cs="Times New Roman"/>
        </w:rPr>
        <w:t>.О</w:t>
      </w:r>
      <w:proofErr w:type="gramEnd"/>
      <w:r>
        <w:rPr>
          <w:rFonts w:ascii="Calibri" w:eastAsia="Times New Roman" w:hAnsi="Calibri" w:cs="Times New Roman"/>
        </w:rPr>
        <w:t>нонское</w:t>
      </w:r>
      <w:proofErr w:type="spellEnd"/>
    </w:p>
    <w:p w:rsidR="00A5350F" w:rsidRDefault="00A5350F">
      <w:pPr>
        <w:ind w:firstLine="709"/>
        <w:jc w:val="both"/>
        <w:rPr>
          <w:rFonts w:ascii="Calibri" w:eastAsia="Times New Roman" w:hAnsi="Calibri" w:cs="Times New Roman"/>
        </w:rPr>
      </w:pPr>
      <w:bookmarkStart w:id="0" w:name="_GoBack"/>
      <w:bookmarkEnd w:id="0"/>
    </w:p>
    <w:p w:rsidR="00A5350F" w:rsidRDefault="00A5350F">
      <w:pPr>
        <w:ind w:firstLine="709"/>
        <w:jc w:val="both"/>
        <w:rPr>
          <w:rFonts w:ascii="Calibri" w:eastAsia="Times New Roman" w:hAnsi="Calibri" w:cs="Times New Roman"/>
          <w:highlight w:val="yellow"/>
        </w:rPr>
      </w:pPr>
    </w:p>
    <w:p w:rsidR="00A5350F" w:rsidRDefault="00404E55">
      <w:pPr>
        <w:ind w:firstLine="709"/>
        <w:jc w:val="center"/>
        <w:rPr>
          <w:rFonts w:ascii="Calibri" w:eastAsia="Times New Roman" w:hAnsi="Calibri" w:cs="Times New Roman"/>
          <w:b/>
        </w:rPr>
      </w:pPr>
      <w:r>
        <w:rPr>
          <w:rFonts w:ascii="Calibri" w:eastAsia="Times New Roman" w:hAnsi="Calibri" w:cs="Times New Roman"/>
          <w:b/>
        </w:rPr>
        <w:t>Кредиторская задолженность</w:t>
      </w:r>
    </w:p>
    <w:p w:rsidR="00A5350F" w:rsidRDefault="00A5350F">
      <w:pPr>
        <w:ind w:firstLine="709"/>
        <w:jc w:val="center"/>
        <w:rPr>
          <w:rFonts w:ascii="Calibri" w:eastAsia="Times New Roman" w:hAnsi="Calibri" w:cs="Times New Roman"/>
          <w:b/>
        </w:rPr>
      </w:pP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992"/>
        <w:gridCol w:w="992"/>
        <w:gridCol w:w="992"/>
        <w:gridCol w:w="1134"/>
        <w:gridCol w:w="1134"/>
        <w:gridCol w:w="1134"/>
        <w:gridCol w:w="1134"/>
      </w:tblGrid>
      <w:tr w:rsidR="00A5350F">
        <w:tc>
          <w:tcPr>
            <w:tcW w:w="1951" w:type="dxa"/>
          </w:tcPr>
          <w:p w:rsidR="00A5350F" w:rsidRDefault="00A5350F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На 01.01. 2023г.</w:t>
            </w:r>
          </w:p>
        </w:tc>
        <w:tc>
          <w:tcPr>
            <w:tcW w:w="992" w:type="dxa"/>
          </w:tcPr>
          <w:p w:rsidR="00A5350F" w:rsidRDefault="00404E55">
            <w:pPr>
              <w:ind w:right="-108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На 01.07. 2023г.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На 01.10. 2023г.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На 01.01. 2024г.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Динамика к 01.01. 2023г.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Динамика к 01.07. 2023г.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Динамика к 01.10. 2023г.</w:t>
            </w:r>
          </w:p>
        </w:tc>
      </w:tr>
      <w:tr w:rsidR="00A5350F">
        <w:tc>
          <w:tcPr>
            <w:tcW w:w="1951" w:type="dxa"/>
          </w:tcPr>
          <w:p w:rsidR="00A5350F" w:rsidRDefault="00404E55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Всего: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627,1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271,6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552,6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+627,1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-355,5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+552,6</w:t>
            </w:r>
          </w:p>
        </w:tc>
      </w:tr>
      <w:tr w:rsidR="00A5350F">
        <w:tc>
          <w:tcPr>
            <w:tcW w:w="1951" w:type="dxa"/>
          </w:tcPr>
          <w:p w:rsidR="00A5350F" w:rsidRDefault="00404E55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В т.ч. просроченная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A5350F" w:rsidRDefault="00A5350F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A5350F">
        <w:tc>
          <w:tcPr>
            <w:tcW w:w="1951" w:type="dxa"/>
          </w:tcPr>
          <w:p w:rsidR="00A5350F" w:rsidRDefault="00404E55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По заработной плате и начислениям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108,0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232,7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+108,0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+124,7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-124,7</w:t>
            </w:r>
          </w:p>
        </w:tc>
      </w:tr>
      <w:tr w:rsidR="00A5350F">
        <w:tc>
          <w:tcPr>
            <w:tcW w:w="1951" w:type="dxa"/>
          </w:tcPr>
          <w:p w:rsidR="00A5350F" w:rsidRDefault="00404E55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В т.ч. просроченная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  <w:tr w:rsidR="00A5350F">
        <w:tc>
          <w:tcPr>
            <w:tcW w:w="1951" w:type="dxa"/>
          </w:tcPr>
          <w:p w:rsidR="00A5350F" w:rsidRDefault="00404E55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По оплате за коммунальные услуги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200,6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430,3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+200,6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-200,6</w:t>
            </w:r>
          </w:p>
        </w:tc>
        <w:tc>
          <w:tcPr>
            <w:tcW w:w="1134" w:type="dxa"/>
          </w:tcPr>
          <w:p w:rsidR="00A5350F" w:rsidRDefault="00404E55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 xml:space="preserve">    +430,3</w:t>
            </w:r>
          </w:p>
        </w:tc>
      </w:tr>
      <w:tr w:rsidR="00A5350F">
        <w:tc>
          <w:tcPr>
            <w:tcW w:w="1951" w:type="dxa"/>
          </w:tcPr>
          <w:p w:rsidR="00A5350F" w:rsidRDefault="00404E55">
            <w:pPr>
              <w:jc w:val="both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В т.ч. просроченная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A5350F" w:rsidRDefault="00404E55">
            <w:pPr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t>0</w:t>
            </w:r>
          </w:p>
        </w:tc>
      </w:tr>
    </w:tbl>
    <w:p w:rsidR="00A5350F" w:rsidRDefault="00A5350F">
      <w:pPr>
        <w:ind w:firstLine="709"/>
        <w:jc w:val="both"/>
        <w:rPr>
          <w:rFonts w:ascii="Calibri" w:eastAsia="Times New Roman" w:hAnsi="Calibri" w:cs="Times New Roman"/>
          <w:highlight w:val="yellow"/>
        </w:rPr>
      </w:pPr>
    </w:p>
    <w:p w:rsidR="00A5350F" w:rsidRDefault="00404E55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  <w:i/>
        </w:rPr>
        <w:t xml:space="preserve">В результате исполнения бюджета муниципального </w:t>
      </w:r>
      <w:r>
        <w:rPr>
          <w:b/>
          <w:i/>
        </w:rPr>
        <w:t>сельского поселения</w:t>
      </w:r>
      <w:r>
        <w:rPr>
          <w:rFonts w:ascii="Calibri" w:eastAsia="Times New Roman" w:hAnsi="Calibri" w:cs="Times New Roman"/>
          <w:b/>
          <w:i/>
        </w:rPr>
        <w:t xml:space="preserve"> за2021 год</w:t>
      </w:r>
      <w:r>
        <w:rPr>
          <w:rFonts w:ascii="Calibri" w:eastAsia="Times New Roman" w:hAnsi="Calibri" w:cs="Times New Roman"/>
        </w:rPr>
        <w:t xml:space="preserve"> по доходам и расходам сложился </w:t>
      </w:r>
      <w:proofErr w:type="spellStart"/>
      <w:r>
        <w:rPr>
          <w:rFonts w:ascii="Calibri" w:eastAsia="Times New Roman" w:hAnsi="Calibri" w:cs="Times New Roman"/>
        </w:rPr>
        <w:t>профицитбюджета</w:t>
      </w:r>
      <w:proofErr w:type="spellEnd"/>
      <w:r>
        <w:rPr>
          <w:rFonts w:ascii="Calibri" w:eastAsia="Times New Roman" w:hAnsi="Calibri" w:cs="Times New Roman"/>
        </w:rPr>
        <w:t xml:space="preserve"> в сумме 31,1 тыс. рублей. Источниками покрытия являются: изменения остатков на счетах по учету средств бюджета </w:t>
      </w:r>
      <w:r>
        <w:t xml:space="preserve">сельского </w:t>
      </w:r>
      <w:r>
        <w:t>поселения</w:t>
      </w:r>
      <w:proofErr w:type="gramStart"/>
      <w:r>
        <w:rPr>
          <w:rFonts w:ascii="Calibri" w:eastAsia="Times New Roman" w:hAnsi="Calibri" w:cs="Times New Roman"/>
        </w:rPr>
        <w:t xml:space="preserve"> .</w:t>
      </w:r>
      <w:proofErr w:type="gramEnd"/>
    </w:p>
    <w:p w:rsidR="00A5350F" w:rsidRDefault="00A5350F">
      <w:pPr>
        <w:ind w:firstLine="709"/>
        <w:jc w:val="both"/>
        <w:rPr>
          <w:rFonts w:ascii="Calibri" w:eastAsia="Times New Roman" w:hAnsi="Calibri" w:cs="Times New Roman"/>
        </w:rPr>
      </w:pPr>
    </w:p>
    <w:p w:rsidR="00A5350F" w:rsidRDefault="00404E55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iCs/>
        </w:rPr>
      </w:pPr>
      <w:r>
        <w:rPr>
          <w:rFonts w:ascii="Calibri" w:eastAsia="Times New Roman" w:hAnsi="Calibri" w:cs="Times New Roman"/>
          <w:b/>
          <w:iCs/>
        </w:rPr>
        <w:t>Исполнение бюджета сельского  поселения за  2023 год</w:t>
      </w:r>
    </w:p>
    <w:p w:rsidR="00A5350F" w:rsidRDefault="00A5350F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iCs/>
        </w:rPr>
      </w:pPr>
    </w:p>
    <w:p w:rsidR="00A5350F" w:rsidRDefault="00A5350F">
      <w:pPr>
        <w:widowControl w:val="0"/>
        <w:numPr>
          <w:ilvl w:val="0"/>
          <w:numId w:val="5"/>
        </w:numPr>
        <w:tabs>
          <w:tab w:val="clear" w:pos="1069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eastAsia="Times New Roman" w:hAnsi="Calibri" w:cs="Times New Roman"/>
        </w:rPr>
      </w:pPr>
    </w:p>
    <w:p w:rsidR="00A5350F" w:rsidRDefault="00404E55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  <w:bCs/>
          <w:i/>
        </w:rPr>
        <w:t xml:space="preserve">Расходная часть бюджетов поселений </w:t>
      </w:r>
      <w:r>
        <w:rPr>
          <w:rFonts w:ascii="Calibri" w:eastAsia="Times New Roman" w:hAnsi="Calibri" w:cs="Times New Roman"/>
          <w:b/>
          <w:i/>
          <w:iCs/>
        </w:rPr>
        <w:t xml:space="preserve">за </w:t>
      </w:r>
      <w:r>
        <w:rPr>
          <w:rFonts w:ascii="Calibri" w:eastAsia="Times New Roman" w:hAnsi="Calibri" w:cs="Times New Roman"/>
          <w:b/>
          <w:bCs/>
          <w:i/>
        </w:rPr>
        <w:t>2023 год</w:t>
      </w:r>
      <w:r>
        <w:rPr>
          <w:rFonts w:ascii="Calibri" w:eastAsia="Times New Roman" w:hAnsi="Calibri" w:cs="Times New Roman"/>
        </w:rPr>
        <w:t xml:space="preserve"> исполнена в сумме 34499,0 тыс. рублей или 99,9% к уточненным годовым назначениям (34546,3 тыс. рублей) и 99,9% к полученным доходам (34530,1 </w:t>
      </w:r>
      <w:r>
        <w:rPr>
          <w:rFonts w:ascii="Calibri" w:eastAsia="Times New Roman" w:hAnsi="Calibri" w:cs="Times New Roman"/>
        </w:rPr>
        <w:t>тыс. рублей).</w:t>
      </w:r>
    </w:p>
    <w:p w:rsidR="00A5350F" w:rsidRDefault="00404E55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i/>
        </w:rPr>
        <w:t>По разделу 01</w:t>
      </w:r>
      <w:r>
        <w:rPr>
          <w:rFonts w:ascii="Calibri" w:eastAsia="Times New Roman" w:hAnsi="Calibri" w:cs="Times New Roman"/>
        </w:rPr>
        <w:t xml:space="preserve"> «Общегосударственные вопросы» расходы исполнены в сумме 7086,7 тыс. рублей или 99,3 % к уточненным годовым бюджетным назначениям (7134,0 тыс. рублей). Доля расходов в общем объеме расходов составляет 20,7%.</w:t>
      </w:r>
    </w:p>
    <w:p w:rsidR="00A5350F" w:rsidRDefault="00404E55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i/>
        </w:rPr>
        <w:t>По разделу 02</w:t>
      </w:r>
      <w:r>
        <w:rPr>
          <w:rFonts w:ascii="Calibri" w:eastAsia="Times New Roman" w:hAnsi="Calibri" w:cs="Times New Roman"/>
        </w:rPr>
        <w:t xml:space="preserve"> «Национ</w:t>
      </w:r>
      <w:r>
        <w:rPr>
          <w:rFonts w:ascii="Calibri" w:eastAsia="Times New Roman" w:hAnsi="Calibri" w:cs="Times New Roman"/>
        </w:rPr>
        <w:t>альная оборона» расходы исполнены в сумме 177,5 тыс. рублей или 100,0 % к уточненным бюджетным назначениям.</w:t>
      </w:r>
    </w:p>
    <w:p w:rsidR="00A5350F" w:rsidRDefault="00404E55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i/>
        </w:rPr>
        <w:lastRenderedPageBreak/>
        <w:t>По разделу 05</w:t>
      </w:r>
      <w:r>
        <w:rPr>
          <w:rFonts w:ascii="Calibri" w:eastAsia="Times New Roman" w:hAnsi="Calibri" w:cs="Times New Roman"/>
        </w:rPr>
        <w:t xml:space="preserve"> «Жилищно-коммунальное хозяйство» расходы исполнены в сумме 6138,0 тыс. рублей или 100% к уточненным бюджетным назначениям (6138,0 тыс</w:t>
      </w:r>
      <w:proofErr w:type="gramStart"/>
      <w:r>
        <w:rPr>
          <w:rFonts w:ascii="Calibri" w:eastAsia="Times New Roman" w:hAnsi="Calibri" w:cs="Times New Roman"/>
        </w:rPr>
        <w:t>.</w:t>
      </w:r>
      <w:r>
        <w:rPr>
          <w:rFonts w:ascii="Calibri" w:eastAsia="Times New Roman" w:hAnsi="Calibri" w:cs="Times New Roman"/>
        </w:rPr>
        <w:t>р</w:t>
      </w:r>
      <w:proofErr w:type="gramEnd"/>
      <w:r>
        <w:rPr>
          <w:rFonts w:ascii="Calibri" w:eastAsia="Times New Roman" w:hAnsi="Calibri" w:cs="Times New Roman"/>
        </w:rPr>
        <w:t>ублей). Доля расходов в общем объеме расходов составляет 17,8%.</w:t>
      </w:r>
    </w:p>
    <w:p w:rsidR="00A5350F" w:rsidRDefault="00404E55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i/>
        </w:rPr>
        <w:t>По разделу 08</w:t>
      </w:r>
      <w:r>
        <w:rPr>
          <w:rFonts w:ascii="Calibri" w:eastAsia="Times New Roman" w:hAnsi="Calibri" w:cs="Times New Roman"/>
        </w:rPr>
        <w:t xml:space="preserve"> «Культура, кинематография» расходы исполнены в сумме 17398,8 тыс. рублей или 100,0% к уточненным бюджетным назначениям (17398,8 тыс. рублей). Доля расходов в общем объеме расход</w:t>
      </w:r>
      <w:r>
        <w:rPr>
          <w:rFonts w:ascii="Calibri" w:eastAsia="Times New Roman" w:hAnsi="Calibri" w:cs="Times New Roman"/>
        </w:rPr>
        <w:t>ов составляет 50,4%.</w:t>
      </w:r>
    </w:p>
    <w:p w:rsidR="00A5350F" w:rsidRDefault="00404E55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i/>
        </w:rPr>
        <w:t>По разделу 11</w:t>
      </w:r>
      <w:r>
        <w:rPr>
          <w:rFonts w:ascii="Calibri" w:eastAsia="Times New Roman" w:hAnsi="Calibri" w:cs="Times New Roman"/>
        </w:rPr>
        <w:t xml:space="preserve"> «Физическая культура и спорт» расходы исполнены в сумме 3698,0 тыс. рублей или 100% к уточненным бюджетным назначениям (3698,0 тыс. рублей). Доля расходов в общем объеме расходов составляет 10,7%.</w:t>
      </w:r>
    </w:p>
    <w:p w:rsidR="00A5350F" w:rsidRDefault="00404E55">
      <w:pPr>
        <w:widowControl w:val="0"/>
        <w:tabs>
          <w:tab w:val="left" w:pos="360"/>
        </w:tabs>
        <w:autoSpaceDE w:val="0"/>
        <w:autoSpaceDN w:val="0"/>
        <w:adjustRightInd w:val="0"/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По результатам фактическ</w:t>
      </w:r>
      <w:r>
        <w:rPr>
          <w:rFonts w:ascii="Calibri" w:eastAsia="Times New Roman" w:hAnsi="Calibri" w:cs="Times New Roman"/>
        </w:rPr>
        <w:t>ого исполнения расходной части бюджетов поселений за 2023 год приоритетными направлениями в расходовании бюджетных средств были следующие расходы:</w:t>
      </w:r>
    </w:p>
    <w:p w:rsidR="00A5350F" w:rsidRDefault="00404E55">
      <w:pPr>
        <w:widowControl w:val="0"/>
        <w:numPr>
          <w:ilvl w:val="0"/>
          <w:numId w:val="6"/>
        </w:numPr>
        <w:tabs>
          <w:tab w:val="clear" w:pos="1069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Жилищно-коммунальное хозяйство – 17,8% в общем объеме расходов;</w:t>
      </w:r>
    </w:p>
    <w:p w:rsidR="00A5350F" w:rsidRDefault="00404E55">
      <w:pPr>
        <w:widowControl w:val="0"/>
        <w:numPr>
          <w:ilvl w:val="0"/>
          <w:numId w:val="6"/>
        </w:numPr>
        <w:tabs>
          <w:tab w:val="clear" w:pos="1069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Общегосударственные вопросы – 20,7%;</w:t>
      </w:r>
    </w:p>
    <w:p w:rsidR="00A5350F" w:rsidRDefault="00404E55">
      <w:pPr>
        <w:widowControl w:val="0"/>
        <w:numPr>
          <w:ilvl w:val="0"/>
          <w:numId w:val="6"/>
        </w:numPr>
        <w:tabs>
          <w:tab w:val="clear" w:pos="1069"/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Культура</w:t>
      </w:r>
      <w:r>
        <w:rPr>
          <w:rFonts w:ascii="Calibri" w:eastAsia="Times New Roman" w:hAnsi="Calibri" w:cs="Times New Roman"/>
        </w:rPr>
        <w:t xml:space="preserve"> – 50,4%</w:t>
      </w:r>
    </w:p>
    <w:p w:rsidR="00A5350F" w:rsidRDefault="00404E55">
      <w:pPr>
        <w:widowControl w:val="0"/>
        <w:autoSpaceDE w:val="0"/>
        <w:autoSpaceDN w:val="0"/>
        <w:adjustRightInd w:val="0"/>
        <w:ind w:firstLine="708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  <w:i/>
        </w:rPr>
        <w:t>В результате исполнения бюджетов поселений за2023 год</w:t>
      </w:r>
      <w:r>
        <w:rPr>
          <w:rFonts w:ascii="Calibri" w:eastAsia="Times New Roman" w:hAnsi="Calibri" w:cs="Times New Roman"/>
        </w:rPr>
        <w:t xml:space="preserve"> по доходам и расходам сложился </w:t>
      </w:r>
      <w:proofErr w:type="spellStart"/>
      <w:r>
        <w:rPr>
          <w:rFonts w:ascii="Calibri" w:eastAsia="Times New Roman" w:hAnsi="Calibri" w:cs="Times New Roman"/>
        </w:rPr>
        <w:t>профицит</w:t>
      </w:r>
      <w:proofErr w:type="spellEnd"/>
      <w:r>
        <w:rPr>
          <w:rFonts w:ascii="Calibri" w:eastAsia="Times New Roman" w:hAnsi="Calibri" w:cs="Times New Roman"/>
        </w:rPr>
        <w:t xml:space="preserve"> бюджета в сумме 31,1 тыс. рублей. </w:t>
      </w:r>
    </w:p>
    <w:p w:rsidR="00A5350F" w:rsidRDefault="00404E55">
      <w:pPr>
        <w:ind w:firstLine="567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b/>
          <w:i/>
        </w:rPr>
        <w:t xml:space="preserve">Недоимка по платежам </w:t>
      </w:r>
      <w:proofErr w:type="gramStart"/>
      <w:r>
        <w:rPr>
          <w:rFonts w:ascii="Calibri" w:eastAsia="Times New Roman" w:hAnsi="Calibri" w:cs="Times New Roman"/>
          <w:b/>
          <w:i/>
        </w:rPr>
        <w:t>в</w:t>
      </w:r>
      <w:proofErr w:type="gramEnd"/>
      <w:r>
        <w:rPr>
          <w:rFonts w:ascii="Calibri" w:eastAsia="Times New Roman" w:hAnsi="Calibri" w:cs="Times New Roman"/>
          <w:b/>
          <w:i/>
        </w:rPr>
        <w:t xml:space="preserve"> </w:t>
      </w:r>
      <w:proofErr w:type="gramStart"/>
      <w:r>
        <w:rPr>
          <w:rFonts w:ascii="Calibri" w:eastAsia="Times New Roman" w:hAnsi="Calibri" w:cs="Times New Roman"/>
          <w:b/>
          <w:i/>
        </w:rPr>
        <w:t>к</w:t>
      </w:r>
      <w:proofErr w:type="gramEnd"/>
      <w:r>
        <w:rPr>
          <w:rFonts w:ascii="Calibri" w:eastAsia="Times New Roman" w:hAnsi="Calibri" w:cs="Times New Roman"/>
          <w:b/>
          <w:i/>
        </w:rPr>
        <w:t xml:space="preserve"> бюджет </w:t>
      </w:r>
      <w:r>
        <w:rPr>
          <w:b/>
          <w:i/>
        </w:rPr>
        <w:t>сельского поселения</w:t>
      </w:r>
      <w:r>
        <w:rPr>
          <w:rFonts w:ascii="Calibri" w:eastAsia="Times New Roman" w:hAnsi="Calibri" w:cs="Times New Roman"/>
        </w:rPr>
        <w:t xml:space="preserve"> по состоянию на 1 января 2024 года по налогам в бюджет </w:t>
      </w:r>
      <w:r>
        <w:t xml:space="preserve">сельского </w:t>
      </w:r>
      <w:r>
        <w:t>поселения</w:t>
      </w:r>
      <w:r>
        <w:rPr>
          <w:rFonts w:ascii="Calibri" w:eastAsia="Times New Roman" w:hAnsi="Calibri" w:cs="Times New Roman"/>
        </w:rPr>
        <w:t xml:space="preserve"> «Ононское», согласно информации предоставленной Управлением  Федеральной налоговой службы по Забайкальскому краю, сложилась в сумме 52,7 тыс. рублей. По сравнению с данными на 01.01.2023 года уровень недоимки уменьшился на 34,0 тыс. рублей  </w:t>
      </w:r>
    </w:p>
    <w:p w:rsidR="00A5350F" w:rsidRDefault="00404E55">
      <w:pPr>
        <w:ind w:firstLine="567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Наиб</w:t>
      </w:r>
      <w:r>
        <w:rPr>
          <w:rFonts w:ascii="Calibri" w:eastAsia="Times New Roman" w:hAnsi="Calibri" w:cs="Times New Roman"/>
        </w:rPr>
        <w:t>ольшую долю недоимки составляют следующие виды налогов:</w:t>
      </w:r>
    </w:p>
    <w:p w:rsidR="00A5350F" w:rsidRDefault="00404E55">
      <w:pPr>
        <w:numPr>
          <w:ilvl w:val="0"/>
          <w:numId w:val="7"/>
        </w:numPr>
        <w:tabs>
          <w:tab w:val="clear" w:pos="927"/>
          <w:tab w:val="left" w:pos="284"/>
        </w:tabs>
        <w:ind w:left="284" w:hanging="284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Земельный налог с физических лиц, обладающих земельным участком – 15,3 тыс. рублей;</w:t>
      </w:r>
    </w:p>
    <w:p w:rsidR="00A5350F" w:rsidRDefault="00404E55">
      <w:pPr>
        <w:numPr>
          <w:ilvl w:val="0"/>
          <w:numId w:val="7"/>
        </w:numPr>
        <w:tabs>
          <w:tab w:val="clear" w:pos="927"/>
          <w:tab w:val="left" w:pos="284"/>
        </w:tabs>
        <w:ind w:left="284" w:hanging="284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Земельный налог с юридических лиц, обладающих земельным участком – 4,2 тыс. рублей</w:t>
      </w:r>
      <w:proofErr w:type="gramStart"/>
      <w:r>
        <w:rPr>
          <w:rFonts w:ascii="Calibri" w:eastAsia="Times New Roman" w:hAnsi="Calibri" w:cs="Times New Roman"/>
        </w:rPr>
        <w:t xml:space="preserve"> ;</w:t>
      </w:r>
      <w:proofErr w:type="gramEnd"/>
    </w:p>
    <w:sectPr w:rsidR="00A5350F" w:rsidSect="00A5350F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16E5"/>
    <w:multiLevelType w:val="multilevel"/>
    <w:tmpl w:val="034516E5"/>
    <w:lvl w:ilvl="0">
      <w:numFmt w:val="bullet"/>
      <w:lvlText w:val=""/>
      <w:lvlJc w:val="left"/>
      <w:pPr>
        <w:tabs>
          <w:tab w:val="left" w:pos="360"/>
        </w:tabs>
        <w:ind w:left="360" w:hanging="360"/>
      </w:pPr>
      <w:rPr>
        <w:rFonts w:ascii="Symbol" w:eastAsia="Times New Roman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A63BC"/>
    <w:multiLevelType w:val="multilevel"/>
    <w:tmpl w:val="1A2A63BC"/>
    <w:lvl w:ilvl="0">
      <w:numFmt w:val="bullet"/>
      <w:lvlText w:val=""/>
      <w:lvlJc w:val="left"/>
      <w:pPr>
        <w:tabs>
          <w:tab w:val="left" w:pos="1069"/>
        </w:tabs>
        <w:ind w:left="1069" w:hanging="360"/>
      </w:pPr>
      <w:rPr>
        <w:rFonts w:ascii="Symbol" w:eastAsia="Times New Roman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C551434"/>
    <w:multiLevelType w:val="multilevel"/>
    <w:tmpl w:val="1C551434"/>
    <w:lvl w:ilvl="0">
      <w:numFmt w:val="bullet"/>
      <w:lvlText w:val=""/>
      <w:lvlJc w:val="left"/>
      <w:pPr>
        <w:tabs>
          <w:tab w:val="left" w:pos="360"/>
        </w:tabs>
        <w:ind w:left="360" w:hanging="360"/>
      </w:pPr>
      <w:rPr>
        <w:rFonts w:ascii="Symbol" w:eastAsia="Times New Roman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7B63C4"/>
    <w:multiLevelType w:val="multilevel"/>
    <w:tmpl w:val="237B63C4"/>
    <w:lvl w:ilvl="0">
      <w:numFmt w:val="bullet"/>
      <w:lvlText w:val=""/>
      <w:lvlJc w:val="left"/>
      <w:pPr>
        <w:tabs>
          <w:tab w:val="left" w:pos="1069"/>
        </w:tabs>
        <w:ind w:left="1069" w:hanging="360"/>
      </w:pPr>
      <w:rPr>
        <w:rFonts w:ascii="Symbol" w:eastAsia="Times New Roman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4467E26"/>
    <w:multiLevelType w:val="multilevel"/>
    <w:tmpl w:val="44467E26"/>
    <w:lvl w:ilvl="0">
      <w:numFmt w:val="bullet"/>
      <w:lvlText w:val=""/>
      <w:lvlJc w:val="left"/>
      <w:pPr>
        <w:tabs>
          <w:tab w:val="left" w:pos="360"/>
        </w:tabs>
        <w:ind w:left="360" w:hanging="360"/>
      </w:pPr>
      <w:rPr>
        <w:rFonts w:ascii="Symbol" w:eastAsia="Times New Roman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D2F3F"/>
    <w:multiLevelType w:val="multilevel"/>
    <w:tmpl w:val="495D2F3F"/>
    <w:lvl w:ilvl="0">
      <w:numFmt w:val="bullet"/>
      <w:lvlText w:val=""/>
      <w:lvlJc w:val="left"/>
      <w:pPr>
        <w:tabs>
          <w:tab w:val="left" w:pos="360"/>
        </w:tabs>
        <w:ind w:left="360" w:hanging="360"/>
      </w:pPr>
      <w:rPr>
        <w:rFonts w:ascii="Symbol" w:eastAsia="Times New Roman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7E414D"/>
    <w:multiLevelType w:val="multilevel"/>
    <w:tmpl w:val="787E414D"/>
    <w:lvl w:ilvl="0">
      <w:numFmt w:val="bullet"/>
      <w:lvlText w:val=""/>
      <w:lvlJc w:val="left"/>
      <w:pPr>
        <w:tabs>
          <w:tab w:val="left" w:pos="927"/>
        </w:tabs>
        <w:ind w:left="927" w:hanging="360"/>
      </w:pPr>
      <w:rPr>
        <w:rFonts w:ascii="Symbol" w:eastAsia="Times New Roman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96054"/>
    <w:rsid w:val="0010526B"/>
    <w:rsid w:val="00190A7A"/>
    <w:rsid w:val="0019392A"/>
    <w:rsid w:val="003A4850"/>
    <w:rsid w:val="00404E55"/>
    <w:rsid w:val="0040734C"/>
    <w:rsid w:val="005456C6"/>
    <w:rsid w:val="00596054"/>
    <w:rsid w:val="006C7E6D"/>
    <w:rsid w:val="007B722E"/>
    <w:rsid w:val="008A2EF6"/>
    <w:rsid w:val="008E3BDD"/>
    <w:rsid w:val="00A5350F"/>
    <w:rsid w:val="00AB01D9"/>
    <w:rsid w:val="00AC541A"/>
    <w:rsid w:val="00B904BD"/>
    <w:rsid w:val="00C2579C"/>
    <w:rsid w:val="00C6470F"/>
    <w:rsid w:val="00CF319B"/>
    <w:rsid w:val="00D808EC"/>
    <w:rsid w:val="00E6575A"/>
    <w:rsid w:val="00F62204"/>
    <w:rsid w:val="010C4284"/>
    <w:rsid w:val="41A528CB"/>
    <w:rsid w:val="44CC6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Simple 1" w:semiHidden="0" w:uiPriority="0" w:unhideWhenUsed="0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50F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A5350F"/>
    <w:rPr>
      <w:color w:val="0000FF"/>
      <w:u w:val="single"/>
    </w:rPr>
  </w:style>
  <w:style w:type="table" w:styleId="1">
    <w:name w:val="Table Simple 1"/>
    <w:basedOn w:val="a1"/>
    <w:rsid w:val="00A5350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nil"/>
          <w:left w:val="single" w:sz="6" w:space="0" w:color="00800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6" w:space="0" w:color="00800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LineNumber">
    <w:name w:val="Line Number"/>
    <w:basedOn w:val="a0"/>
    <w:semiHidden/>
    <w:rsid w:val="00A535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EE500-D47B-4B4E-BA28-E83E2FB67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1208</Words>
  <Characters>6892</Characters>
  <Application>Microsoft Office Word</Application>
  <DocSecurity>0</DocSecurity>
  <Lines>57</Lines>
  <Paragraphs>16</Paragraphs>
  <ScaleCrop>false</ScaleCrop>
  <Company>Grizli777</Company>
  <LinksUpToDate>false</LinksUpToDate>
  <CharactersWithSpaces>8084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Федоровна Латышева</dc:creator>
  <cp:lastModifiedBy>Admin</cp:lastModifiedBy>
  <cp:revision>9</cp:revision>
  <cp:lastPrinted>2024-05-07T05:19:00Z</cp:lastPrinted>
  <dcterms:created xsi:type="dcterms:W3CDTF">2024-04-05T02:05:00Z</dcterms:created>
  <dcterms:modified xsi:type="dcterms:W3CDTF">2024-05-07T05:20:00Z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1049-12.2.0.16731</vt:lpwstr>
  </property>
  <property fmtid="{D5CDD505-2E9C-101B-9397-08002B2CF9AE}" pid="3" name="ICV">
    <vt:lpwstr>03AA52E776514C9EBB37121616401FEA_12</vt:lpwstr>
  </property>
</Properties>
</file>